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2BB" w:rsidRDefault="00AA12BB" w:rsidP="00AA12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AA12BB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AA12BB">
        <w:rPr>
          <w:rFonts w:ascii="Arial" w:hAnsi="Arial" w:cs="Arial"/>
          <w:b/>
          <w:color w:val="231F20"/>
          <w:sz w:val="24"/>
          <w:szCs w:val="24"/>
        </w:rPr>
        <w:t>section 115JEE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 of the Income-tax Act, with effect from the </w:t>
      </w:r>
      <w:r w:rsidRPr="00AA12BB">
        <w:rPr>
          <w:rFonts w:ascii="Arial" w:hAnsi="Arial" w:cs="Arial"/>
          <w:b/>
          <w:color w:val="231F20"/>
          <w:sz w:val="24"/>
          <w:szCs w:val="24"/>
        </w:rPr>
        <w:t>1st day of April, 2015</w:t>
      </w:r>
      <w:r w:rsidRPr="00AA12BB">
        <w:rPr>
          <w:rFonts w:ascii="Arial" w:hAnsi="Arial" w:cs="Arial"/>
          <w:color w:val="231F20"/>
          <w:sz w:val="24"/>
          <w:szCs w:val="24"/>
        </w:rPr>
        <w:t>,—</w:t>
      </w:r>
    </w:p>
    <w:p w:rsidR="00AA12BB" w:rsidRPr="00AA12BB" w:rsidRDefault="00AA12BB" w:rsidP="00AA12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AA12BB" w:rsidRPr="00AA12BB" w:rsidRDefault="00AA12BB" w:rsidP="00AA12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AA12BB">
        <w:rPr>
          <w:rFonts w:ascii="Arial" w:hAnsi="Arial" w:cs="Arial"/>
          <w:color w:val="231F20"/>
          <w:sz w:val="24"/>
          <w:szCs w:val="24"/>
        </w:rPr>
        <w:t>(</w:t>
      </w:r>
      <w:r w:rsidRPr="00AA12BB">
        <w:rPr>
          <w:rFonts w:ascii="Arial" w:hAnsi="Arial" w:cs="Arial"/>
          <w:i/>
          <w:iCs/>
          <w:color w:val="231F20"/>
          <w:sz w:val="24"/>
          <w:szCs w:val="24"/>
        </w:rPr>
        <w:t>A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AA12BB">
        <w:rPr>
          <w:rFonts w:ascii="Arial" w:hAnsi="Arial" w:cs="Arial"/>
          <w:color w:val="231F20"/>
          <w:sz w:val="24"/>
          <w:szCs w:val="24"/>
        </w:rPr>
        <w:t>in</w:t>
      </w:r>
      <w:proofErr w:type="gramEnd"/>
      <w:r w:rsidRPr="00AA12BB">
        <w:rPr>
          <w:rFonts w:ascii="Arial" w:hAnsi="Arial" w:cs="Arial"/>
          <w:color w:val="231F20"/>
          <w:sz w:val="24"/>
          <w:szCs w:val="24"/>
        </w:rPr>
        <w:t xml:space="preserve"> </w:t>
      </w:r>
      <w:r w:rsidRPr="00AA12BB">
        <w:rPr>
          <w:rFonts w:ascii="Arial" w:hAnsi="Arial" w:cs="Arial"/>
          <w:b/>
          <w:color w:val="231F20"/>
          <w:sz w:val="24"/>
          <w:szCs w:val="24"/>
        </w:rPr>
        <w:t>sub-section (</w:t>
      </w:r>
      <w:r w:rsidRPr="00AA12BB">
        <w:rPr>
          <w:rFonts w:ascii="Arial" w:hAnsi="Arial" w:cs="Arial"/>
          <w:b/>
          <w:i/>
          <w:iCs/>
          <w:color w:val="231F20"/>
          <w:sz w:val="24"/>
          <w:szCs w:val="24"/>
        </w:rPr>
        <w:t>1</w:t>
      </w:r>
      <w:r w:rsidRPr="00AA12BB">
        <w:rPr>
          <w:rFonts w:ascii="Arial" w:hAnsi="Arial" w:cs="Arial"/>
          <w:b/>
          <w:color w:val="231F20"/>
          <w:sz w:val="24"/>
          <w:szCs w:val="24"/>
        </w:rPr>
        <w:t>), for clause (</w:t>
      </w:r>
      <w:r w:rsidRPr="00AA12BB">
        <w:rPr>
          <w:rFonts w:ascii="Arial" w:hAnsi="Arial" w:cs="Arial"/>
          <w:b/>
          <w:i/>
          <w:iCs/>
          <w:color w:val="231F20"/>
          <w:sz w:val="24"/>
          <w:szCs w:val="24"/>
        </w:rPr>
        <w:t>b</w:t>
      </w:r>
      <w:r w:rsidRPr="00AA12BB">
        <w:rPr>
          <w:rFonts w:ascii="Arial" w:hAnsi="Arial" w:cs="Arial"/>
          <w:b/>
          <w:color w:val="231F20"/>
          <w:sz w:val="24"/>
          <w:szCs w:val="24"/>
        </w:rPr>
        <w:t>),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 the followin</w:t>
      </w:r>
      <w:r>
        <w:rPr>
          <w:rFonts w:ascii="Arial" w:hAnsi="Arial" w:cs="Arial"/>
          <w:color w:val="231F20"/>
          <w:sz w:val="24"/>
          <w:szCs w:val="24"/>
        </w:rPr>
        <w:t xml:space="preserve">g clauses shall be substituted, </w:t>
      </w:r>
      <w:r w:rsidRPr="00AA12BB">
        <w:rPr>
          <w:rFonts w:ascii="Arial" w:hAnsi="Arial" w:cs="Arial"/>
          <w:color w:val="231F20"/>
          <w:sz w:val="24"/>
          <w:szCs w:val="24"/>
        </w:rPr>
        <w:t>namely:</w:t>
      </w:r>
      <w:r>
        <w:rPr>
          <w:rFonts w:ascii="Arial" w:hAnsi="Arial" w:cs="Arial"/>
          <w:color w:val="231F20"/>
          <w:sz w:val="24"/>
          <w:szCs w:val="24"/>
        </w:rPr>
        <w:t>–</w:t>
      </w:r>
    </w:p>
    <w:p w:rsidR="00AA12BB" w:rsidRPr="00AA12BB" w:rsidRDefault="00AA12BB" w:rsidP="00AA12B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231F20"/>
          <w:sz w:val="24"/>
          <w:szCs w:val="24"/>
        </w:rPr>
      </w:pPr>
      <w:r w:rsidRPr="00AA12BB">
        <w:rPr>
          <w:rFonts w:ascii="Arial" w:hAnsi="Arial" w:cs="Arial"/>
          <w:color w:val="231F20"/>
          <w:sz w:val="24"/>
          <w:szCs w:val="24"/>
        </w:rPr>
        <w:t>(</w:t>
      </w:r>
      <w:r w:rsidRPr="00AA12BB">
        <w:rPr>
          <w:rFonts w:ascii="Arial" w:hAnsi="Arial" w:cs="Arial"/>
          <w:i/>
          <w:iCs/>
          <w:color w:val="231F20"/>
          <w:sz w:val="24"/>
          <w:szCs w:val="24"/>
        </w:rPr>
        <w:t>b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AA12BB">
        <w:rPr>
          <w:rFonts w:ascii="Arial" w:hAnsi="Arial" w:cs="Arial"/>
          <w:color w:val="231F20"/>
          <w:sz w:val="24"/>
          <w:szCs w:val="24"/>
        </w:rPr>
        <w:t>section</w:t>
      </w:r>
      <w:proofErr w:type="gramEnd"/>
      <w:r w:rsidRPr="00AA12BB">
        <w:rPr>
          <w:rFonts w:ascii="Arial" w:hAnsi="Arial" w:cs="Arial"/>
          <w:color w:val="231F20"/>
          <w:sz w:val="24"/>
          <w:szCs w:val="24"/>
        </w:rPr>
        <w:t xml:space="preserve"> 10AA; or</w:t>
      </w:r>
    </w:p>
    <w:p w:rsidR="00AA12BB" w:rsidRDefault="00AA12BB" w:rsidP="00AA12B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231F20"/>
          <w:sz w:val="24"/>
          <w:szCs w:val="24"/>
        </w:rPr>
      </w:pPr>
      <w:r w:rsidRPr="00AA12BB">
        <w:rPr>
          <w:rFonts w:ascii="Arial" w:hAnsi="Arial" w:cs="Arial"/>
          <w:color w:val="231F20"/>
          <w:sz w:val="24"/>
          <w:szCs w:val="24"/>
        </w:rPr>
        <w:t>(</w:t>
      </w:r>
      <w:r w:rsidRPr="00AA12BB">
        <w:rPr>
          <w:rFonts w:ascii="Arial" w:hAnsi="Arial" w:cs="Arial"/>
          <w:i/>
          <w:iCs/>
          <w:color w:val="231F20"/>
          <w:sz w:val="24"/>
          <w:szCs w:val="24"/>
        </w:rPr>
        <w:t>c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AA12BB">
        <w:rPr>
          <w:rFonts w:ascii="Arial" w:hAnsi="Arial" w:cs="Arial"/>
          <w:color w:val="231F20"/>
          <w:sz w:val="24"/>
          <w:szCs w:val="24"/>
        </w:rPr>
        <w:t>section</w:t>
      </w:r>
      <w:proofErr w:type="gramEnd"/>
      <w:r w:rsidRPr="00AA12BB">
        <w:rPr>
          <w:rFonts w:ascii="Arial" w:hAnsi="Arial" w:cs="Arial"/>
          <w:color w:val="231F20"/>
          <w:sz w:val="24"/>
          <w:szCs w:val="24"/>
        </w:rPr>
        <w:t xml:space="preserve"> 35AD.”;</w:t>
      </w:r>
    </w:p>
    <w:p w:rsidR="00AA12BB" w:rsidRPr="00AA12BB" w:rsidRDefault="00AA12BB" w:rsidP="00AA12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AA12BB" w:rsidRDefault="00AA12BB" w:rsidP="00AA12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AA12BB">
        <w:rPr>
          <w:rFonts w:ascii="Arial" w:hAnsi="Arial" w:cs="Arial"/>
          <w:color w:val="231F20"/>
          <w:sz w:val="24"/>
          <w:szCs w:val="24"/>
        </w:rPr>
        <w:t>(</w:t>
      </w:r>
      <w:r w:rsidRPr="00AA12BB">
        <w:rPr>
          <w:rFonts w:ascii="Arial" w:hAnsi="Arial" w:cs="Arial"/>
          <w:i/>
          <w:iCs/>
          <w:color w:val="231F20"/>
          <w:sz w:val="24"/>
          <w:szCs w:val="24"/>
        </w:rPr>
        <w:t>B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) </w:t>
      </w:r>
      <w:proofErr w:type="gramStart"/>
      <w:r w:rsidRPr="00AA12BB">
        <w:rPr>
          <w:rFonts w:ascii="Arial" w:hAnsi="Arial" w:cs="Arial"/>
          <w:color w:val="231F20"/>
          <w:sz w:val="24"/>
          <w:szCs w:val="24"/>
        </w:rPr>
        <w:t>after</w:t>
      </w:r>
      <w:proofErr w:type="gramEnd"/>
      <w:r w:rsidRPr="00AA12BB">
        <w:rPr>
          <w:rFonts w:ascii="Arial" w:hAnsi="Arial" w:cs="Arial"/>
          <w:color w:val="231F20"/>
          <w:sz w:val="24"/>
          <w:szCs w:val="24"/>
        </w:rPr>
        <w:t xml:space="preserve"> sub-section (</w:t>
      </w:r>
      <w:r w:rsidRPr="00AA12BB">
        <w:rPr>
          <w:rFonts w:ascii="Arial" w:hAnsi="Arial" w:cs="Arial"/>
          <w:i/>
          <w:iCs/>
          <w:color w:val="231F20"/>
          <w:sz w:val="24"/>
          <w:szCs w:val="24"/>
        </w:rPr>
        <w:t>2</w:t>
      </w:r>
      <w:r w:rsidRPr="00AA12BB">
        <w:rPr>
          <w:rFonts w:ascii="Arial" w:hAnsi="Arial" w:cs="Arial"/>
          <w:color w:val="231F20"/>
          <w:sz w:val="24"/>
          <w:szCs w:val="24"/>
        </w:rPr>
        <w:t>), the following sub-section shall be inserted, namely:––</w:t>
      </w:r>
    </w:p>
    <w:p w:rsidR="00AA12BB" w:rsidRPr="00AA12BB" w:rsidRDefault="00AA12BB" w:rsidP="00AA12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5015BD" w:rsidRPr="00AA12BB" w:rsidRDefault="00AA12BB" w:rsidP="00AA12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AA12BB">
        <w:rPr>
          <w:rFonts w:ascii="Arial" w:hAnsi="Arial" w:cs="Arial"/>
          <w:color w:val="231F20"/>
          <w:sz w:val="24"/>
          <w:szCs w:val="24"/>
        </w:rPr>
        <w:t>“</w:t>
      </w:r>
      <w:r w:rsidRPr="00AA12BB">
        <w:rPr>
          <w:rFonts w:ascii="Arial" w:hAnsi="Arial" w:cs="Arial"/>
          <w:b/>
          <w:color w:val="231F20"/>
          <w:sz w:val="24"/>
          <w:szCs w:val="24"/>
        </w:rPr>
        <w:t>(</w:t>
      </w:r>
      <w:r w:rsidRPr="00AA12BB">
        <w:rPr>
          <w:rFonts w:ascii="Arial" w:hAnsi="Arial" w:cs="Arial"/>
          <w:b/>
          <w:i/>
          <w:iCs/>
          <w:color w:val="231F20"/>
          <w:sz w:val="24"/>
          <w:szCs w:val="24"/>
        </w:rPr>
        <w:t>3</w:t>
      </w:r>
      <w:r w:rsidRPr="00AA12BB">
        <w:rPr>
          <w:rFonts w:ascii="Arial" w:hAnsi="Arial" w:cs="Arial"/>
          <w:b/>
          <w:color w:val="231F20"/>
          <w:sz w:val="24"/>
          <w:szCs w:val="24"/>
        </w:rPr>
        <w:t>)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 Notwithstanding anything contained in sub-section (</w:t>
      </w:r>
      <w:r w:rsidRPr="00AA12BB">
        <w:rPr>
          <w:rFonts w:ascii="Arial" w:hAnsi="Arial" w:cs="Arial"/>
          <w:i/>
          <w:iCs/>
          <w:color w:val="231F20"/>
          <w:sz w:val="24"/>
          <w:szCs w:val="24"/>
        </w:rPr>
        <w:t>1</w:t>
      </w:r>
      <w:r w:rsidRPr="00AA12BB">
        <w:rPr>
          <w:rFonts w:ascii="Arial" w:hAnsi="Arial" w:cs="Arial"/>
          <w:color w:val="231F20"/>
          <w:sz w:val="24"/>
          <w:szCs w:val="24"/>
        </w:rPr>
        <w:t>) or sub-section (</w:t>
      </w:r>
      <w:r w:rsidRPr="00AA12BB">
        <w:rPr>
          <w:rFonts w:ascii="Arial" w:hAnsi="Arial" w:cs="Arial"/>
          <w:i/>
          <w:iCs/>
          <w:color w:val="231F20"/>
          <w:sz w:val="24"/>
          <w:szCs w:val="24"/>
        </w:rPr>
        <w:t>2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), the </w:t>
      </w:r>
      <w:r w:rsidRPr="00AA12BB">
        <w:rPr>
          <w:rFonts w:ascii="Arial" w:hAnsi="Arial" w:cs="Arial"/>
          <w:b/>
          <w:color w:val="231F20"/>
          <w:sz w:val="24"/>
          <w:szCs w:val="24"/>
        </w:rPr>
        <w:t>credit for tax paid under section 115JC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 shall be </w:t>
      </w:r>
      <w:r w:rsidRPr="00AA12BB">
        <w:rPr>
          <w:rFonts w:ascii="Arial" w:hAnsi="Arial" w:cs="Arial"/>
          <w:b/>
          <w:color w:val="231F20"/>
          <w:sz w:val="24"/>
          <w:szCs w:val="24"/>
        </w:rPr>
        <w:t>allowed in accordance</w:t>
      </w:r>
      <w:r w:rsidRPr="00AA12BB">
        <w:rPr>
          <w:rFonts w:ascii="Arial" w:hAnsi="Arial" w:cs="Arial"/>
          <w:color w:val="231F20"/>
          <w:sz w:val="24"/>
          <w:szCs w:val="24"/>
        </w:rPr>
        <w:t xml:space="preserve"> with the provisions of </w:t>
      </w:r>
      <w:r w:rsidRPr="00AA12BB">
        <w:rPr>
          <w:rFonts w:ascii="Arial" w:hAnsi="Arial" w:cs="Arial"/>
          <w:b/>
          <w:color w:val="231F20"/>
          <w:sz w:val="24"/>
          <w:szCs w:val="24"/>
        </w:rPr>
        <w:t>section 115JD</w:t>
      </w:r>
      <w:r w:rsidRPr="00AA12BB">
        <w:rPr>
          <w:rFonts w:ascii="Arial" w:hAnsi="Arial" w:cs="Arial"/>
          <w:color w:val="231F20"/>
          <w:sz w:val="24"/>
          <w:szCs w:val="24"/>
        </w:rPr>
        <w:t>.</w:t>
      </w:r>
      <w:proofErr w:type="gramStart"/>
      <w:r w:rsidRPr="00AA12BB">
        <w:rPr>
          <w:rFonts w:ascii="Arial" w:hAnsi="Arial" w:cs="Arial"/>
          <w:color w:val="231F20"/>
          <w:sz w:val="24"/>
          <w:szCs w:val="24"/>
        </w:rPr>
        <w:t>”.</w:t>
      </w:r>
      <w:proofErr w:type="gramEnd"/>
    </w:p>
    <w:sectPr w:rsidR="005015BD" w:rsidRPr="00AA12BB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AA12BB"/>
    <w:rsid w:val="005015BD"/>
    <w:rsid w:val="00AA1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2014-07-16T08:24:00Z</dcterms:created>
  <dcterms:modified xsi:type="dcterms:W3CDTF">2014-07-16T08:27:00Z</dcterms:modified>
</cp:coreProperties>
</file>